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707" w:rsidRDefault="00DB6417">
      <w:pPr>
        <w:pStyle w:val="Textoindependiente"/>
        <w:ind w:left="102"/>
        <w:rPr>
          <w:rFonts w:ascii="Times New Roman"/>
          <w:i w:val="0"/>
        </w:rPr>
      </w:pPr>
      <w:r>
        <w:rPr>
          <w:rFonts w:ascii="Times New Roman"/>
          <w:i w:val="0"/>
          <w:noProof/>
          <w:lang w:val="gl-ES" w:eastAsia="gl-ES"/>
        </w:rPr>
        <w:drawing>
          <wp:inline distT="0" distB="0" distL="0" distR="0">
            <wp:extent cx="775471" cy="4572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471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1707" w:rsidRDefault="00381707">
      <w:pPr>
        <w:pStyle w:val="Textoindependiente"/>
        <w:rPr>
          <w:rFonts w:ascii="Times New Roman"/>
          <w:i w:val="0"/>
        </w:rPr>
      </w:pPr>
    </w:p>
    <w:p w:rsidR="00381707" w:rsidRPr="00FE387E" w:rsidRDefault="00DB6417" w:rsidP="00FE387E">
      <w:pPr>
        <w:jc w:val="center"/>
        <w:rPr>
          <w:color w:val="CC3399"/>
          <w:sz w:val="32"/>
          <w:szCs w:val="32"/>
        </w:rPr>
      </w:pPr>
      <w:bookmarkStart w:id="0" w:name="Procedimiento_cotutela_int-gal"/>
      <w:bookmarkStart w:id="1" w:name="Procedemento_e_condicións_para_formaliza"/>
      <w:bookmarkEnd w:id="0"/>
      <w:bookmarkEnd w:id="1"/>
      <w:r w:rsidRPr="00FE387E">
        <w:rPr>
          <w:color w:val="CC3399"/>
          <w:sz w:val="32"/>
          <w:szCs w:val="32"/>
        </w:rPr>
        <w:t>PROCEDEMENTO E CONDICIÓNS PARA FORMALIZAR CONVENIOS DE COTUTELA INTERNACIONAL PARA TESES DOUTORAIS</w:t>
      </w:r>
    </w:p>
    <w:p w:rsidR="00FE387E" w:rsidRDefault="00FE387E">
      <w:pPr>
        <w:pStyle w:val="Ttulo1"/>
        <w:rPr>
          <w:color w:val="B3186D"/>
          <w:lang w:val="gl-ES"/>
        </w:rPr>
      </w:pPr>
      <w:bookmarkStart w:id="2" w:name="Motivación"/>
      <w:bookmarkEnd w:id="2"/>
    </w:p>
    <w:p w:rsidR="00381707" w:rsidRPr="00DB6417" w:rsidRDefault="00DB6417">
      <w:pPr>
        <w:pStyle w:val="Ttulo1"/>
        <w:rPr>
          <w:lang w:val="gl-ES"/>
        </w:rPr>
      </w:pPr>
      <w:r w:rsidRPr="00DB6417">
        <w:rPr>
          <w:color w:val="B3186D"/>
          <w:lang w:val="gl-ES"/>
        </w:rPr>
        <w:t>Motivación</w:t>
      </w:r>
    </w:p>
    <w:p w:rsidR="00381707" w:rsidRPr="00DB6417" w:rsidRDefault="00DB6417">
      <w:pPr>
        <w:pStyle w:val="Ttulo2"/>
        <w:spacing w:before="121" w:line="259" w:lineRule="auto"/>
        <w:ind w:right="216"/>
        <w:rPr>
          <w:lang w:val="gl-ES"/>
        </w:rPr>
      </w:pPr>
      <w:r w:rsidRPr="00DB6417">
        <w:rPr>
          <w:lang w:val="gl-ES"/>
        </w:rPr>
        <w:t>Os principios básicos e procedemento administrativo que regula a cotutela internacional están recollidos no Artigo 24 do Regulamento de Estudos de Doutoramento da UDC aprobado en Consello de Goberno do 01/10/2024 e modificado o</w:t>
      </w:r>
      <w:r w:rsidRPr="00DB6417">
        <w:rPr>
          <w:spacing w:val="-11"/>
          <w:lang w:val="gl-ES"/>
        </w:rPr>
        <w:t xml:space="preserve"> </w:t>
      </w:r>
      <w:r w:rsidRPr="00DB6417">
        <w:rPr>
          <w:lang w:val="gl-ES"/>
        </w:rPr>
        <w:t>07/11/2024.</w:t>
      </w:r>
    </w:p>
    <w:p w:rsidR="00381707" w:rsidRPr="00DB6417" w:rsidRDefault="00381707">
      <w:pPr>
        <w:spacing w:before="11"/>
        <w:rPr>
          <w:sz w:val="23"/>
          <w:lang w:val="gl-ES"/>
        </w:rPr>
      </w:pPr>
    </w:p>
    <w:p w:rsidR="00381707" w:rsidRPr="00DB6417" w:rsidRDefault="00DB6417">
      <w:pPr>
        <w:pStyle w:val="Textoindependiente"/>
        <w:ind w:left="101"/>
        <w:jc w:val="both"/>
        <w:rPr>
          <w:lang w:val="gl-ES"/>
        </w:rPr>
      </w:pPr>
      <w:r w:rsidRPr="00DB6417">
        <w:rPr>
          <w:u w:val="single"/>
          <w:lang w:val="gl-ES"/>
        </w:rPr>
        <w:t>Artigo 24. Tese en réxime de cotutela internacional</w:t>
      </w:r>
    </w:p>
    <w:p w:rsidR="00381707" w:rsidRPr="00DB6417" w:rsidRDefault="00381707">
      <w:pPr>
        <w:rPr>
          <w:i/>
          <w:sz w:val="18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2"/>
        </w:numPr>
        <w:tabs>
          <w:tab w:val="left" w:pos="299"/>
        </w:tabs>
        <w:ind w:hanging="198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A UDC incentivará a realización de teses en réxime de cotutela</w:t>
      </w:r>
      <w:r w:rsidRPr="00DB6417">
        <w:rPr>
          <w:i/>
          <w:spacing w:val="-16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internacional.</w:t>
      </w:r>
    </w:p>
    <w:p w:rsidR="00381707" w:rsidRPr="00DB6417" w:rsidRDefault="00381707">
      <w:pPr>
        <w:rPr>
          <w:i/>
          <w:sz w:val="18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2"/>
        </w:numPr>
        <w:tabs>
          <w:tab w:val="left" w:pos="299"/>
        </w:tabs>
        <w:ind w:hanging="198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A tese en réxime de cotutela internacional deberá cumprir as seguintes</w:t>
      </w:r>
      <w:r w:rsidRPr="00DB6417">
        <w:rPr>
          <w:i/>
          <w:spacing w:val="-17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condicións:</w:t>
      </w:r>
    </w:p>
    <w:p w:rsidR="00381707" w:rsidRPr="00DB6417" w:rsidRDefault="00381707">
      <w:pPr>
        <w:rPr>
          <w:i/>
          <w:sz w:val="18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1"/>
        </w:numPr>
        <w:tabs>
          <w:tab w:val="left" w:pos="378"/>
        </w:tabs>
        <w:spacing w:line="259" w:lineRule="auto"/>
        <w:ind w:right="218" w:firstLine="0"/>
        <w:jc w:val="both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Que a tese de doutoramento estea supervisada por doutoras ou doutores de dúas ou máis universidades, das cales unha deberá ser a UDC e o resto estranxeiras, que deberán formalizar un</w:t>
      </w:r>
      <w:r>
        <w:rPr>
          <w:i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convenio de</w:t>
      </w:r>
      <w:r w:rsidRPr="00DB6417">
        <w:rPr>
          <w:i/>
          <w:spacing w:val="-3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cotutela.</w:t>
      </w:r>
    </w:p>
    <w:p w:rsidR="00381707" w:rsidRPr="00DB6417" w:rsidRDefault="00381707">
      <w:pPr>
        <w:spacing w:before="6"/>
        <w:rPr>
          <w:i/>
          <w:sz w:val="16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1"/>
        </w:numPr>
        <w:tabs>
          <w:tab w:val="left" w:pos="316"/>
        </w:tabs>
        <w:spacing w:line="259" w:lineRule="auto"/>
        <w:ind w:right="219" w:firstLine="0"/>
        <w:jc w:val="both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Que, polo seu traballo de tese de doutoramento, a persoa doutoranda obteña dous ou máis títulos,</w:t>
      </w:r>
      <w:r>
        <w:rPr>
          <w:i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un por cada unha das institucións de educación superior responsables do desenvolvemento da</w:t>
      </w:r>
      <w:r w:rsidRPr="00DB6417">
        <w:rPr>
          <w:i/>
          <w:spacing w:val="-29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tese.</w:t>
      </w:r>
    </w:p>
    <w:p w:rsidR="00381707" w:rsidRPr="00DB6417" w:rsidRDefault="00381707">
      <w:pPr>
        <w:spacing w:before="6"/>
        <w:rPr>
          <w:i/>
          <w:sz w:val="16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1"/>
        </w:numPr>
        <w:tabs>
          <w:tab w:val="left" w:pos="305"/>
        </w:tabs>
        <w:spacing w:line="259" w:lineRule="auto"/>
        <w:ind w:right="215" w:firstLine="0"/>
        <w:jc w:val="both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Que, durante o período de formación necesario para obter o título de doutor/a, a persoa</w:t>
      </w:r>
      <w:r>
        <w:rPr>
          <w:i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doutoranda realizase unha estadía mínima de seis meses en cada unha das institucións con que se establece o convenio de cotutela, a levar a cabo traballos de investigación, ben nun só período ou en varios. As estadías e actividades serán reflectidas no convenio de</w:t>
      </w:r>
      <w:r w:rsidRPr="00DB6417">
        <w:rPr>
          <w:i/>
          <w:spacing w:val="-10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cotutela.</w:t>
      </w:r>
    </w:p>
    <w:p w:rsidR="00381707" w:rsidRPr="00DB6417" w:rsidRDefault="00381707">
      <w:pPr>
        <w:spacing w:before="6"/>
        <w:rPr>
          <w:i/>
          <w:sz w:val="16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2"/>
        </w:numPr>
        <w:tabs>
          <w:tab w:val="left" w:pos="310"/>
        </w:tabs>
        <w:spacing w:line="259" w:lineRule="auto"/>
        <w:ind w:left="101" w:right="216" w:firstLine="0"/>
        <w:jc w:val="both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O convenio de cotutela internacional deberá formalizarse antes do depósito da tese, por iniciativa da CAPD e logo do informe favorable da EIDUDC. Este convenio terá vixencia ata a finalización do período máximo de duración da tese e deberá indicar onde terá lugar a súa defensa, así como a equivalencia entre os sistemas de cualificacións das universidades e o mecanismo de recoñecemento de posibles mencións</w:t>
      </w:r>
      <w:r w:rsidRPr="00DB6417">
        <w:rPr>
          <w:i/>
          <w:spacing w:val="-2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honoríficas.</w:t>
      </w:r>
    </w:p>
    <w:p w:rsidR="00381707" w:rsidRPr="00DB6417" w:rsidRDefault="00381707">
      <w:pPr>
        <w:spacing w:before="7"/>
        <w:rPr>
          <w:i/>
          <w:sz w:val="16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2"/>
        </w:numPr>
        <w:tabs>
          <w:tab w:val="left" w:pos="372"/>
        </w:tabs>
        <w:spacing w:line="259" w:lineRule="auto"/>
        <w:ind w:left="101" w:right="215" w:firstLine="0"/>
        <w:jc w:val="both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A persoa doutoranda deberá cumprir os requisitos de admisión e matrícula nos estudos de doutoramento,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ademais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do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plan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de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investigación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e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de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formación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do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programa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de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doutoramento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da</w:t>
      </w:r>
      <w:r w:rsidRPr="00DB6417">
        <w:rPr>
          <w:i/>
          <w:spacing w:val="-5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UDC.</w:t>
      </w:r>
    </w:p>
    <w:p w:rsidR="00381707" w:rsidRPr="00DB6417" w:rsidRDefault="00381707">
      <w:pPr>
        <w:spacing w:before="5"/>
        <w:rPr>
          <w:i/>
          <w:sz w:val="16"/>
          <w:lang w:val="gl-ES"/>
        </w:rPr>
      </w:pPr>
    </w:p>
    <w:p w:rsidR="00381707" w:rsidRPr="00DB6417" w:rsidRDefault="00DB6417">
      <w:pPr>
        <w:pStyle w:val="Prrafodelista"/>
        <w:numPr>
          <w:ilvl w:val="0"/>
          <w:numId w:val="2"/>
        </w:numPr>
        <w:tabs>
          <w:tab w:val="left" w:pos="310"/>
        </w:tabs>
        <w:spacing w:line="259" w:lineRule="auto"/>
        <w:ind w:left="101" w:right="216" w:firstLine="0"/>
        <w:jc w:val="both"/>
        <w:rPr>
          <w:i/>
          <w:sz w:val="20"/>
          <w:lang w:val="gl-ES"/>
        </w:rPr>
      </w:pPr>
      <w:r w:rsidRPr="00DB6417">
        <w:rPr>
          <w:i/>
          <w:sz w:val="20"/>
          <w:lang w:val="gl-ES"/>
        </w:rPr>
        <w:t>O título de doutor/a incluirá no seu anverso unha dilixencia co texto «Tese en réxime de cotutela coa Universidade X» ou o que estableza a normativa vixente. A tese en cotutela poderá igualmente dar lugar a incluír no título a mención de «Doutoramento internacional», se se realizan estadías en institucións diferentes das propias do convenio formalizado e se dan as circunstancias do artigo</w:t>
      </w:r>
      <w:r w:rsidRPr="00DB6417">
        <w:rPr>
          <w:i/>
          <w:spacing w:val="-24"/>
          <w:sz w:val="20"/>
          <w:lang w:val="gl-ES"/>
        </w:rPr>
        <w:t xml:space="preserve"> </w:t>
      </w:r>
      <w:r w:rsidRPr="00DB6417">
        <w:rPr>
          <w:i/>
          <w:sz w:val="20"/>
          <w:lang w:val="gl-ES"/>
        </w:rPr>
        <w:t>23.</w:t>
      </w:r>
    </w:p>
    <w:p w:rsidR="00381707" w:rsidRPr="00DB6417" w:rsidRDefault="00381707">
      <w:pPr>
        <w:rPr>
          <w:i/>
          <w:sz w:val="20"/>
          <w:lang w:val="gl-ES"/>
        </w:rPr>
      </w:pPr>
    </w:p>
    <w:p w:rsidR="00381707" w:rsidRPr="00DB6417" w:rsidRDefault="00381707">
      <w:pPr>
        <w:rPr>
          <w:i/>
          <w:sz w:val="20"/>
          <w:lang w:val="gl-ES"/>
        </w:rPr>
      </w:pPr>
    </w:p>
    <w:p w:rsidR="00381707" w:rsidRPr="00DB6417" w:rsidRDefault="00381707">
      <w:pPr>
        <w:spacing w:before="6"/>
        <w:rPr>
          <w:i/>
          <w:sz w:val="16"/>
          <w:lang w:val="gl-ES"/>
        </w:rPr>
      </w:pPr>
    </w:p>
    <w:p w:rsidR="00381707" w:rsidRPr="00DB6417" w:rsidRDefault="00DB6417">
      <w:pPr>
        <w:pStyle w:val="Ttulo2"/>
        <w:spacing w:line="259" w:lineRule="auto"/>
        <w:ind w:right="214" w:firstLine="52"/>
        <w:rPr>
          <w:lang w:val="gl-ES"/>
        </w:rPr>
      </w:pPr>
      <w:r w:rsidRPr="00DB6417">
        <w:rPr>
          <w:lang w:val="gl-ES"/>
        </w:rPr>
        <w:t>O feito de que a cotutela internacional conducente a obter un dobre título estea regulada por dous regulamentos diferentes aconsella que o procedemento para formalizar convenios deste tipo de cotutela e os contidos mínimos dos devanditos convenios estean sintetizados nun único procedemento que recolla os principios e requisitos de cada regulamento. Ademais, como pode implicar que a UDC pode emitir o título de doutor a estudantes que defenderon a tese só nunha institución estranxeira, é necesario detallar os aspectos que deben figurar nestes convenios de cotutela internacional para garantir que o depósito e a defensa  se realicen cumprindo as mesmas condicións e esixencias aplicadas ás teses defendidas na</w:t>
      </w:r>
      <w:r w:rsidRPr="00DB6417">
        <w:rPr>
          <w:spacing w:val="-27"/>
          <w:lang w:val="gl-ES"/>
        </w:rPr>
        <w:t xml:space="preserve"> </w:t>
      </w:r>
      <w:r w:rsidRPr="00DB6417">
        <w:rPr>
          <w:lang w:val="gl-ES"/>
        </w:rPr>
        <w:t>UDC.</w:t>
      </w:r>
    </w:p>
    <w:p w:rsidR="00381707" w:rsidRPr="00DB6417" w:rsidRDefault="00381707">
      <w:pPr>
        <w:spacing w:line="259" w:lineRule="auto"/>
        <w:rPr>
          <w:lang w:val="gl-ES"/>
        </w:rPr>
        <w:sectPr w:rsidR="00381707" w:rsidRPr="00DB6417">
          <w:footerReference w:type="default" r:id="rId8"/>
          <w:type w:val="continuous"/>
          <w:pgSz w:w="11910" w:h="16840"/>
          <w:pgMar w:top="700" w:right="1480" w:bottom="1200" w:left="1600" w:header="720" w:footer="1001" w:gutter="0"/>
          <w:pgNumType w:start="1"/>
          <w:cols w:space="720"/>
        </w:sectPr>
      </w:pPr>
    </w:p>
    <w:p w:rsidR="00381707" w:rsidRPr="00DB6417" w:rsidRDefault="00DB6417">
      <w:pPr>
        <w:spacing w:before="19"/>
        <w:ind w:left="101" w:right="539"/>
        <w:rPr>
          <w:rFonts w:ascii="Calibri Light" w:hAnsi="Calibri Light"/>
          <w:sz w:val="32"/>
          <w:lang w:val="gl-ES"/>
        </w:rPr>
      </w:pPr>
      <w:bookmarkStart w:id="3" w:name="Requisitos_e_recomendacións_que_debe_cum"/>
      <w:bookmarkEnd w:id="3"/>
      <w:r w:rsidRPr="00DB6417">
        <w:rPr>
          <w:rFonts w:ascii="Calibri Light" w:hAnsi="Calibri Light"/>
          <w:color w:val="B3186D"/>
          <w:sz w:val="32"/>
          <w:lang w:val="gl-ES"/>
        </w:rPr>
        <w:lastRenderedPageBreak/>
        <w:t>Requisitos e recomendacións que debe cumprir un convenio de cotutela.</w:t>
      </w:r>
    </w:p>
    <w:p w:rsidR="00381707" w:rsidRPr="00DB6417" w:rsidRDefault="00DB6417">
      <w:pPr>
        <w:spacing w:before="45" w:line="259" w:lineRule="auto"/>
        <w:ind w:left="101" w:right="217"/>
        <w:jc w:val="both"/>
        <w:rPr>
          <w:lang w:val="gl-ES"/>
        </w:rPr>
      </w:pPr>
      <w:r w:rsidRPr="00DB6417">
        <w:rPr>
          <w:lang w:val="gl-ES"/>
        </w:rPr>
        <w:t xml:space="preserve">O convenio debe garantir que se cumprirán os requisitos esixidos no  REDUC  para  as  cotutelas internacionais conducentes á obtención dun dobre título. </w:t>
      </w:r>
      <w:r>
        <w:rPr>
          <w:lang w:val="gl-ES"/>
        </w:rPr>
        <w:t xml:space="preserve">Para iso, recoméndase utilizar o </w:t>
      </w:r>
      <w:r w:rsidRPr="00DB6417">
        <w:rPr>
          <w:lang w:val="gl-ES"/>
        </w:rPr>
        <w:t>convenio de modelo normalizado adxunto a este procedemento (</w:t>
      </w:r>
      <w:r w:rsidRPr="00DB6417">
        <w:rPr>
          <w:b/>
          <w:u w:val="single"/>
          <w:lang w:val="gl-ES"/>
        </w:rPr>
        <w:t>anexo I</w:t>
      </w:r>
      <w:r w:rsidRPr="00DB6417">
        <w:rPr>
          <w:lang w:val="gl-ES"/>
        </w:rPr>
        <w:t>)</w:t>
      </w:r>
      <w:r>
        <w:rPr>
          <w:lang w:val="gl-ES"/>
        </w:rPr>
        <w:t xml:space="preserve">. Se non </w:t>
      </w:r>
      <w:r w:rsidRPr="00DB6417">
        <w:rPr>
          <w:lang w:val="gl-ES"/>
        </w:rPr>
        <w:t xml:space="preserve">é posible utilizar devandito modelo, o convenio </w:t>
      </w:r>
      <w:r w:rsidRPr="00DB6417">
        <w:rPr>
          <w:b/>
          <w:u w:val="single"/>
          <w:lang w:val="gl-ES"/>
        </w:rPr>
        <w:t>deberá cumprir todos os requisitos listados</w:t>
      </w:r>
      <w:r w:rsidRPr="00DB6417">
        <w:rPr>
          <w:b/>
          <w:lang w:val="gl-ES"/>
        </w:rPr>
        <w:t xml:space="preserve"> </w:t>
      </w:r>
      <w:r w:rsidRPr="00DB6417">
        <w:rPr>
          <w:b/>
          <w:u w:val="single"/>
          <w:lang w:val="gl-ES"/>
        </w:rPr>
        <w:t>no anexo II</w:t>
      </w:r>
      <w:r w:rsidRPr="00DB6417">
        <w:rPr>
          <w:b/>
          <w:lang w:val="gl-ES"/>
        </w:rPr>
        <w:t xml:space="preserve"> </w:t>
      </w:r>
      <w:r w:rsidRPr="00DB6417">
        <w:rPr>
          <w:lang w:val="gl-ES"/>
        </w:rPr>
        <w:t>deste procedemento. Ademais,</w:t>
      </w:r>
      <w:r w:rsidRPr="00DB6417">
        <w:rPr>
          <w:u w:val="single"/>
          <w:lang w:val="gl-ES"/>
        </w:rPr>
        <w:t xml:space="preserve"> </w:t>
      </w:r>
      <w:r w:rsidRPr="00DB6417">
        <w:rPr>
          <w:i/>
          <w:u w:val="single"/>
          <w:lang w:val="gl-ES"/>
        </w:rPr>
        <w:t>aconséllase que o convenio tamén inclúa as recomendacións</w:t>
      </w:r>
      <w:r w:rsidRPr="00DB6417">
        <w:rPr>
          <w:i/>
          <w:lang w:val="gl-ES"/>
        </w:rPr>
        <w:t xml:space="preserve"> </w:t>
      </w:r>
      <w:r w:rsidRPr="00DB6417">
        <w:rPr>
          <w:i/>
          <w:u w:val="single"/>
          <w:lang w:val="gl-ES"/>
        </w:rPr>
        <w:t>indicadas en devandito anexo</w:t>
      </w:r>
      <w:r w:rsidRPr="00DB6417">
        <w:rPr>
          <w:i/>
          <w:spacing w:val="-24"/>
          <w:u w:val="single"/>
          <w:lang w:val="gl-ES"/>
        </w:rPr>
        <w:t xml:space="preserve"> </w:t>
      </w:r>
      <w:r w:rsidRPr="00DB6417">
        <w:rPr>
          <w:i/>
          <w:u w:val="single"/>
          <w:lang w:val="gl-ES"/>
        </w:rPr>
        <w:t>II</w:t>
      </w:r>
      <w:r w:rsidRPr="00DB6417">
        <w:rPr>
          <w:lang w:val="gl-ES"/>
        </w:rPr>
        <w:t>.</w:t>
      </w:r>
    </w:p>
    <w:p w:rsidR="00381707" w:rsidRPr="00DB6417" w:rsidRDefault="00DB6417">
      <w:pPr>
        <w:pStyle w:val="Ttulo1"/>
        <w:spacing w:before="119"/>
        <w:jc w:val="both"/>
        <w:rPr>
          <w:lang w:val="gl-ES"/>
        </w:rPr>
      </w:pPr>
      <w:r w:rsidRPr="00DB6417">
        <w:rPr>
          <w:color w:val="B3186D"/>
          <w:lang w:val="gl-ES"/>
        </w:rPr>
        <w:t>Procedemento para formalizar un</w:t>
      </w:r>
      <w:r w:rsidRPr="00DB6417">
        <w:rPr>
          <w:color w:val="B3186D"/>
          <w:spacing w:val="-18"/>
          <w:lang w:val="gl-ES"/>
        </w:rPr>
        <w:t xml:space="preserve"> </w:t>
      </w:r>
      <w:r w:rsidRPr="00DB6417">
        <w:rPr>
          <w:color w:val="B3186D"/>
          <w:lang w:val="gl-ES"/>
        </w:rPr>
        <w:t>convenio</w:t>
      </w:r>
    </w:p>
    <w:p w:rsidR="00381707" w:rsidRPr="00DB6417" w:rsidRDefault="00DB6417">
      <w:pPr>
        <w:pStyle w:val="Ttulo2"/>
        <w:spacing w:before="1"/>
        <w:rPr>
          <w:lang w:val="gl-ES"/>
        </w:rPr>
      </w:pPr>
      <w:bookmarkStart w:id="4" w:name="Procedemento_para_formalizar_un_convenio"/>
      <w:bookmarkEnd w:id="4"/>
      <w:r w:rsidRPr="00DB6417">
        <w:rPr>
          <w:lang w:val="gl-ES"/>
        </w:rPr>
        <w:t>Os pasos a seguir e os órganos responsables de cada paso</w:t>
      </w:r>
      <w:r w:rsidRPr="00DB6417">
        <w:rPr>
          <w:spacing w:val="-14"/>
          <w:lang w:val="gl-ES"/>
        </w:rPr>
        <w:t xml:space="preserve"> </w:t>
      </w:r>
      <w:r w:rsidRPr="00DB6417">
        <w:rPr>
          <w:lang w:val="gl-ES"/>
        </w:rPr>
        <w:t>son:</w:t>
      </w:r>
    </w:p>
    <w:p w:rsidR="00381707" w:rsidRPr="00DB6417" w:rsidRDefault="00381707">
      <w:pPr>
        <w:rPr>
          <w:sz w:val="20"/>
          <w:lang w:val="gl-ES"/>
        </w:rPr>
      </w:pPr>
    </w:p>
    <w:p w:rsidR="00381707" w:rsidRPr="00DB6417" w:rsidRDefault="00381707">
      <w:pPr>
        <w:rPr>
          <w:sz w:val="20"/>
          <w:lang w:val="gl-ES"/>
        </w:rPr>
      </w:pPr>
    </w:p>
    <w:p w:rsidR="00381707" w:rsidRPr="00DB6417" w:rsidRDefault="00381707">
      <w:pPr>
        <w:spacing w:before="11" w:after="1"/>
        <w:rPr>
          <w:sz w:val="12"/>
          <w:lang w:val="gl-ES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DE81E1"/>
          <w:left w:val="single" w:sz="4" w:space="0" w:color="DE81E1"/>
          <w:bottom w:val="single" w:sz="4" w:space="0" w:color="DE81E1"/>
          <w:right w:val="single" w:sz="4" w:space="0" w:color="DE81E1"/>
          <w:insideH w:val="single" w:sz="4" w:space="0" w:color="DE81E1"/>
          <w:insideV w:val="single" w:sz="4" w:space="0" w:color="DE81E1"/>
        </w:tblBorders>
        <w:tblLayout w:type="fixed"/>
        <w:tblLook w:val="01E0" w:firstRow="1" w:lastRow="1" w:firstColumn="1" w:lastColumn="1" w:noHBand="0" w:noVBand="0"/>
      </w:tblPr>
      <w:tblGrid>
        <w:gridCol w:w="1439"/>
        <w:gridCol w:w="1343"/>
        <w:gridCol w:w="5826"/>
      </w:tblGrid>
      <w:tr w:rsidR="00381707" w:rsidRPr="00DB6417">
        <w:trPr>
          <w:trHeight w:val="263"/>
        </w:trPr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C830CC"/>
          </w:tcPr>
          <w:p w:rsidR="00381707" w:rsidRPr="00DB6417" w:rsidRDefault="00DB6417">
            <w:pPr>
              <w:pStyle w:val="TableParagraph"/>
              <w:spacing w:before="8" w:line="235" w:lineRule="exact"/>
              <w:ind w:left="112"/>
              <w:rPr>
                <w:b/>
                <w:sz w:val="20"/>
                <w:lang w:val="gl-ES"/>
              </w:rPr>
            </w:pPr>
            <w:r w:rsidRPr="00DB6417">
              <w:rPr>
                <w:b/>
                <w:color w:val="FFFFFF"/>
                <w:sz w:val="20"/>
                <w:lang w:val="gl-ES"/>
              </w:rPr>
              <w:t>Paso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C830CC"/>
          </w:tcPr>
          <w:p w:rsidR="00381707" w:rsidRPr="00DB6417" w:rsidRDefault="00DB6417">
            <w:pPr>
              <w:pStyle w:val="TableParagraph"/>
              <w:spacing w:before="8" w:line="235" w:lineRule="exact"/>
              <w:ind w:left="111"/>
              <w:rPr>
                <w:b/>
                <w:sz w:val="20"/>
                <w:lang w:val="gl-ES"/>
              </w:rPr>
            </w:pPr>
            <w:r w:rsidRPr="00DB6417">
              <w:rPr>
                <w:b/>
                <w:color w:val="FFFFFF"/>
                <w:sz w:val="20"/>
                <w:lang w:val="gl-ES"/>
              </w:rPr>
              <w:t>Responsable</w:t>
            </w:r>
          </w:p>
        </w:tc>
        <w:tc>
          <w:tcPr>
            <w:tcW w:w="5826" w:type="dxa"/>
            <w:tcBorders>
              <w:top w:val="nil"/>
              <w:left w:val="nil"/>
              <w:bottom w:val="nil"/>
              <w:right w:val="nil"/>
            </w:tcBorders>
            <w:shd w:val="clear" w:color="auto" w:fill="C830CC"/>
          </w:tcPr>
          <w:p w:rsidR="00381707" w:rsidRPr="00DB6417" w:rsidRDefault="00DB6417">
            <w:pPr>
              <w:pStyle w:val="TableParagraph"/>
              <w:spacing w:before="8" w:line="235" w:lineRule="exact"/>
              <w:ind w:left="111"/>
              <w:rPr>
                <w:b/>
                <w:sz w:val="20"/>
                <w:lang w:val="gl-ES"/>
              </w:rPr>
            </w:pPr>
            <w:r w:rsidRPr="00DB6417">
              <w:rPr>
                <w:b/>
                <w:color w:val="FFFFFF"/>
                <w:sz w:val="20"/>
                <w:lang w:val="gl-ES"/>
              </w:rPr>
              <w:t>Descripción</w:t>
            </w:r>
          </w:p>
        </w:tc>
      </w:tr>
      <w:tr w:rsidR="00381707" w:rsidRPr="00DB6417">
        <w:trPr>
          <w:trHeight w:val="1952"/>
        </w:trPr>
        <w:tc>
          <w:tcPr>
            <w:tcW w:w="1439" w:type="dxa"/>
            <w:tcBorders>
              <w:top w:val="nil"/>
            </w:tcBorders>
            <w:shd w:val="clear" w:color="auto" w:fill="F4D5F5"/>
          </w:tcPr>
          <w:p w:rsidR="00381707" w:rsidRPr="00DB6417" w:rsidRDefault="00DB6417">
            <w:pPr>
              <w:pStyle w:val="TableParagraph"/>
              <w:ind w:left="107" w:right="307"/>
              <w:jc w:val="both"/>
              <w:rPr>
                <w:b/>
                <w:sz w:val="20"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>Elaboración da proposta de convenio</w:t>
            </w:r>
          </w:p>
        </w:tc>
        <w:tc>
          <w:tcPr>
            <w:tcW w:w="1343" w:type="dxa"/>
            <w:tcBorders>
              <w:top w:val="nil"/>
            </w:tcBorders>
            <w:shd w:val="clear" w:color="auto" w:fill="F4D5F5"/>
          </w:tcPr>
          <w:p w:rsidR="00381707" w:rsidRPr="00DB6417" w:rsidRDefault="00DB6417">
            <w:pPr>
              <w:pStyle w:val="TableParagraph"/>
              <w:spacing w:line="243" w:lineRule="exact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CAPD</w:t>
            </w:r>
          </w:p>
        </w:tc>
        <w:tc>
          <w:tcPr>
            <w:tcW w:w="5826" w:type="dxa"/>
            <w:tcBorders>
              <w:top w:val="nil"/>
            </w:tcBorders>
            <w:shd w:val="clear" w:color="auto" w:fill="F4D5F5"/>
          </w:tcPr>
          <w:p w:rsidR="00381707" w:rsidRPr="00DB6417" w:rsidRDefault="00DB6417" w:rsidP="00FE387E">
            <w:pPr>
              <w:pStyle w:val="TableParagraph"/>
              <w:ind w:right="142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A Comisión Académica do Programa de Doutoramento ( CAPD) no que estea matriculado o estudante será a responsable de preparar a proposta de convenio. Como a proposta deberá contemplar as esixencias establecidas no REDUDC, aconséllase utilizar o modelo normalizado adxunto a este procedemento (</w:t>
            </w:r>
            <w:r w:rsidRPr="00DB6417">
              <w:rPr>
                <w:b/>
                <w:sz w:val="20"/>
                <w:u w:val="single"/>
                <w:lang w:val="gl-ES"/>
              </w:rPr>
              <w:t>Anexo I</w:t>
            </w:r>
            <w:r w:rsidRPr="00DB6417">
              <w:rPr>
                <w:sz w:val="20"/>
                <w:lang w:val="gl-ES"/>
              </w:rPr>
              <w:t xml:space="preserve">. Cando non se poida utilizar o modelo normalizado, </w:t>
            </w:r>
            <w:r w:rsidRPr="00DB6417">
              <w:rPr>
                <w:i/>
                <w:sz w:val="20"/>
                <w:u w:val="single"/>
                <w:lang w:val="gl-ES"/>
              </w:rPr>
              <w:t>recoméndase que a CAPD</w:t>
            </w:r>
            <w:r w:rsidRPr="00DB6417">
              <w:rPr>
                <w:i/>
                <w:sz w:val="20"/>
                <w:lang w:val="gl-ES"/>
              </w:rPr>
              <w:t xml:space="preserve"> </w:t>
            </w:r>
            <w:r w:rsidRPr="00DB6417">
              <w:rPr>
                <w:i/>
                <w:sz w:val="20"/>
                <w:u w:val="single"/>
                <w:lang w:val="gl-ES"/>
              </w:rPr>
              <w:t xml:space="preserve">comprobe que a proposta cumpre os requisitos do </w:t>
            </w:r>
            <w:r w:rsidRPr="00DB6417">
              <w:rPr>
                <w:b/>
                <w:i/>
                <w:sz w:val="20"/>
                <w:u w:val="single"/>
                <w:lang w:val="gl-ES"/>
              </w:rPr>
              <w:t>Anexo II</w:t>
            </w:r>
            <w:r w:rsidRPr="00DB6417">
              <w:rPr>
                <w:b/>
                <w:i/>
                <w:sz w:val="20"/>
                <w:lang w:val="gl-ES"/>
              </w:rPr>
              <w:t xml:space="preserve"> </w:t>
            </w:r>
            <w:r w:rsidRPr="00DB6417">
              <w:rPr>
                <w:sz w:val="20"/>
                <w:lang w:val="gl-ES"/>
              </w:rPr>
              <w:t>deste</w:t>
            </w:r>
          </w:p>
          <w:p w:rsidR="00381707" w:rsidRPr="00DB6417" w:rsidRDefault="00DB6417" w:rsidP="00FE387E">
            <w:pPr>
              <w:pStyle w:val="TableParagraph"/>
              <w:spacing w:line="224" w:lineRule="exact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procedemento.</w:t>
            </w:r>
          </w:p>
        </w:tc>
      </w:tr>
      <w:tr w:rsidR="00381707" w:rsidRPr="00FE387E">
        <w:trPr>
          <w:trHeight w:val="756"/>
        </w:trPr>
        <w:tc>
          <w:tcPr>
            <w:tcW w:w="1439" w:type="dxa"/>
          </w:tcPr>
          <w:p w:rsidR="00381707" w:rsidRPr="00DB6417" w:rsidRDefault="00DB6417">
            <w:pPr>
              <w:pStyle w:val="TableParagraph"/>
              <w:ind w:left="107" w:right="195"/>
              <w:rPr>
                <w:b/>
                <w:sz w:val="20"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>Aprobación e envío á</w:t>
            </w:r>
          </w:p>
          <w:p w:rsidR="00381707" w:rsidRPr="00DB6417" w:rsidRDefault="00DB6417">
            <w:pPr>
              <w:pStyle w:val="TableParagraph"/>
              <w:spacing w:line="248" w:lineRule="exact"/>
              <w:ind w:left="107"/>
              <w:rPr>
                <w:b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>E</w:t>
            </w:r>
            <w:r w:rsidRPr="00DB6417">
              <w:rPr>
                <w:b/>
                <w:lang w:val="gl-ES"/>
              </w:rPr>
              <w:t>IDUDC</w:t>
            </w:r>
          </w:p>
        </w:tc>
        <w:tc>
          <w:tcPr>
            <w:tcW w:w="1343" w:type="dxa"/>
          </w:tcPr>
          <w:p w:rsidR="00381707" w:rsidRPr="00DB6417" w:rsidRDefault="00DB6417">
            <w:pPr>
              <w:pStyle w:val="TableParagrap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CAPD</w:t>
            </w:r>
          </w:p>
        </w:tc>
        <w:tc>
          <w:tcPr>
            <w:tcW w:w="5826" w:type="dxa"/>
          </w:tcPr>
          <w:p w:rsidR="00381707" w:rsidRPr="00DB6417" w:rsidRDefault="00DB6417" w:rsidP="00FE387E">
            <w:pPr>
              <w:pStyle w:val="TableParagraph"/>
              <w:ind w:right="142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A proposta deberá ser aprobada pola CAPD e remitida á Escola Internacional de Doutoramento ( EIDUDC).</w:t>
            </w:r>
          </w:p>
        </w:tc>
      </w:tr>
      <w:tr w:rsidR="00381707" w:rsidRPr="00FE387E">
        <w:trPr>
          <w:trHeight w:val="977"/>
        </w:trPr>
        <w:tc>
          <w:tcPr>
            <w:tcW w:w="1439" w:type="dxa"/>
            <w:shd w:val="clear" w:color="auto" w:fill="F4D5F5"/>
          </w:tcPr>
          <w:p w:rsidR="00381707" w:rsidRPr="00DB6417" w:rsidRDefault="00DB6417">
            <w:pPr>
              <w:pStyle w:val="TableParagraph"/>
              <w:ind w:left="107" w:right="384"/>
              <w:rPr>
                <w:b/>
                <w:sz w:val="20"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>Informe da EIDUDC</w:t>
            </w:r>
          </w:p>
        </w:tc>
        <w:tc>
          <w:tcPr>
            <w:tcW w:w="1343" w:type="dxa"/>
            <w:shd w:val="clear" w:color="auto" w:fill="F4D5F5"/>
          </w:tcPr>
          <w:p w:rsidR="00381707" w:rsidRPr="00DB6417" w:rsidRDefault="00DB6417">
            <w:pPr>
              <w:pStyle w:val="TableParagraph"/>
              <w:ind w:right="202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Comisión Permanente da EIDUDC</w:t>
            </w:r>
          </w:p>
        </w:tc>
        <w:tc>
          <w:tcPr>
            <w:tcW w:w="5826" w:type="dxa"/>
            <w:shd w:val="clear" w:color="auto" w:fill="F4D5F5"/>
          </w:tcPr>
          <w:p w:rsidR="00381707" w:rsidRPr="00DB6417" w:rsidRDefault="00DB6417" w:rsidP="00FE387E">
            <w:pPr>
              <w:pStyle w:val="TableParagraph"/>
              <w:ind w:right="527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 xml:space="preserve">A Comisión Permanente da EIDUDC informará a proposta comprobando o cumprimento dos requisitos e recomendacións listados no </w:t>
            </w:r>
            <w:r w:rsidRPr="00DB6417">
              <w:rPr>
                <w:b/>
                <w:sz w:val="20"/>
                <w:u w:val="single"/>
                <w:lang w:val="gl-ES"/>
              </w:rPr>
              <w:t>Anexo II</w:t>
            </w:r>
            <w:r w:rsidRPr="00DB6417">
              <w:rPr>
                <w:sz w:val="20"/>
                <w:lang w:val="gl-ES"/>
              </w:rPr>
              <w:t>. O incumprimento dalgún dos requisitos da</w:t>
            </w:r>
          </w:p>
          <w:p w:rsidR="00381707" w:rsidRPr="00DB6417" w:rsidRDefault="00DB6417" w:rsidP="00FE387E">
            <w:pPr>
              <w:pStyle w:val="TableParagraph"/>
              <w:spacing w:line="225" w:lineRule="exact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listaxe poderá ser motivo de devolución da proposta.</w:t>
            </w:r>
          </w:p>
        </w:tc>
      </w:tr>
      <w:tr w:rsidR="00381707" w:rsidRPr="00FE387E">
        <w:trPr>
          <w:trHeight w:val="731"/>
        </w:trPr>
        <w:tc>
          <w:tcPr>
            <w:tcW w:w="1439" w:type="dxa"/>
          </w:tcPr>
          <w:p w:rsidR="00381707" w:rsidRPr="00DB6417" w:rsidRDefault="00DB6417">
            <w:pPr>
              <w:pStyle w:val="TableParagraph"/>
              <w:ind w:left="107"/>
              <w:rPr>
                <w:b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 xml:space="preserve">Remisión á </w:t>
            </w:r>
            <w:r w:rsidRPr="00DB6417">
              <w:rPr>
                <w:b/>
                <w:lang w:val="gl-ES"/>
              </w:rPr>
              <w:t>SX</w:t>
            </w:r>
          </w:p>
        </w:tc>
        <w:tc>
          <w:tcPr>
            <w:tcW w:w="1343" w:type="dxa"/>
          </w:tcPr>
          <w:p w:rsidR="00381707" w:rsidRPr="00DB6417" w:rsidRDefault="00DB6417">
            <w:pPr>
              <w:pStyle w:val="TableParagraph"/>
              <w:ind w:right="229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Equipo Directivo da</w:t>
            </w:r>
          </w:p>
          <w:p w:rsidR="00381707" w:rsidRPr="00DB6417" w:rsidRDefault="00DB6417">
            <w:pPr>
              <w:pStyle w:val="TableParagraph"/>
              <w:spacing w:line="224" w:lineRule="exact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EIDUDC</w:t>
            </w:r>
          </w:p>
        </w:tc>
        <w:tc>
          <w:tcPr>
            <w:tcW w:w="5826" w:type="dxa"/>
          </w:tcPr>
          <w:p w:rsidR="00381707" w:rsidRPr="00DB6417" w:rsidRDefault="00DB6417" w:rsidP="00FE387E">
            <w:pPr>
              <w:pStyle w:val="TableParagraph"/>
              <w:ind w:right="142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Os convenios informados positivamente no paso anterior serán remitidos pola EIDUDC á Secretaría Xeral (SX) para ser asinados.</w:t>
            </w:r>
          </w:p>
        </w:tc>
      </w:tr>
      <w:tr w:rsidR="00381707" w:rsidRPr="00FE387E">
        <w:trPr>
          <w:trHeight w:val="513"/>
        </w:trPr>
        <w:tc>
          <w:tcPr>
            <w:tcW w:w="1439" w:type="dxa"/>
            <w:shd w:val="clear" w:color="auto" w:fill="F4D5F5"/>
          </w:tcPr>
          <w:p w:rsidR="00381707" w:rsidRPr="00DB6417" w:rsidRDefault="00381707">
            <w:pPr>
              <w:pStyle w:val="TableParagraph"/>
              <w:ind w:left="0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343" w:type="dxa"/>
            <w:shd w:val="clear" w:color="auto" w:fill="F4D5F5"/>
          </w:tcPr>
          <w:p w:rsidR="00381707" w:rsidRPr="00DB6417" w:rsidRDefault="00381707">
            <w:pPr>
              <w:pStyle w:val="TableParagraph"/>
              <w:ind w:left="0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5826" w:type="dxa"/>
            <w:shd w:val="clear" w:color="auto" w:fill="F4D5F5"/>
          </w:tcPr>
          <w:p w:rsidR="00381707" w:rsidRPr="00DB6417" w:rsidRDefault="00381707">
            <w:pPr>
              <w:pStyle w:val="TableParagraph"/>
              <w:ind w:left="0"/>
              <w:rPr>
                <w:rFonts w:ascii="Times New Roman"/>
                <w:sz w:val="20"/>
                <w:lang w:val="gl-ES"/>
              </w:rPr>
            </w:pPr>
          </w:p>
        </w:tc>
      </w:tr>
      <w:tr w:rsidR="00381707" w:rsidRPr="00FE387E">
        <w:trPr>
          <w:trHeight w:val="976"/>
        </w:trPr>
        <w:tc>
          <w:tcPr>
            <w:tcW w:w="1439" w:type="dxa"/>
          </w:tcPr>
          <w:p w:rsidR="00381707" w:rsidRPr="00DB6417" w:rsidRDefault="00DB6417">
            <w:pPr>
              <w:pStyle w:val="TableParagraph"/>
              <w:ind w:left="107" w:right="459"/>
              <w:rPr>
                <w:b/>
                <w:sz w:val="20"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>Sinatura e rexistro</w:t>
            </w:r>
          </w:p>
        </w:tc>
        <w:tc>
          <w:tcPr>
            <w:tcW w:w="1343" w:type="dxa"/>
          </w:tcPr>
          <w:p w:rsidR="00381707" w:rsidRPr="00DB6417" w:rsidRDefault="00DB6417">
            <w:pPr>
              <w:pStyle w:val="TableParagraph"/>
              <w:spacing w:line="243" w:lineRule="exact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SX</w:t>
            </w:r>
          </w:p>
        </w:tc>
        <w:tc>
          <w:tcPr>
            <w:tcW w:w="5826" w:type="dxa"/>
          </w:tcPr>
          <w:p w:rsidR="00381707" w:rsidRPr="00DB6417" w:rsidRDefault="00DB6417" w:rsidP="00FE387E">
            <w:pPr>
              <w:pStyle w:val="TableParagraph"/>
              <w:ind w:right="160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SX enviará o convenio para ser asinado por toda as partes. Unha vez asinado, o documento orixinal e dúas copias serán enviados á SX para o seu rexistro e custodia, incorporándoo á base de datos de</w:t>
            </w:r>
          </w:p>
          <w:p w:rsidR="00381707" w:rsidRPr="00DB6417" w:rsidRDefault="00DB6417" w:rsidP="00FE387E">
            <w:pPr>
              <w:pStyle w:val="TableParagraph"/>
              <w:spacing w:line="224" w:lineRule="exact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convenios (no caso de sinaturas manuscritas)</w:t>
            </w:r>
          </w:p>
        </w:tc>
      </w:tr>
      <w:tr w:rsidR="00381707" w:rsidRPr="00FE387E">
        <w:trPr>
          <w:trHeight w:val="488"/>
        </w:trPr>
        <w:tc>
          <w:tcPr>
            <w:tcW w:w="1439" w:type="dxa"/>
            <w:shd w:val="clear" w:color="auto" w:fill="F4D5F5"/>
          </w:tcPr>
          <w:p w:rsidR="00381707" w:rsidRPr="00DB6417" w:rsidRDefault="00381707">
            <w:pPr>
              <w:pStyle w:val="TableParagraph"/>
              <w:ind w:left="0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1343" w:type="dxa"/>
            <w:shd w:val="clear" w:color="auto" w:fill="F4D5F5"/>
          </w:tcPr>
          <w:p w:rsidR="00381707" w:rsidRPr="00DB6417" w:rsidRDefault="00381707">
            <w:pPr>
              <w:pStyle w:val="TableParagraph"/>
              <w:ind w:left="0"/>
              <w:rPr>
                <w:rFonts w:ascii="Times New Roman"/>
                <w:sz w:val="20"/>
                <w:lang w:val="gl-ES"/>
              </w:rPr>
            </w:pPr>
          </w:p>
        </w:tc>
        <w:tc>
          <w:tcPr>
            <w:tcW w:w="5826" w:type="dxa"/>
            <w:shd w:val="clear" w:color="auto" w:fill="F4D5F5"/>
          </w:tcPr>
          <w:p w:rsidR="00381707" w:rsidRPr="00DB6417" w:rsidRDefault="00381707">
            <w:pPr>
              <w:pStyle w:val="TableParagraph"/>
              <w:ind w:left="0"/>
              <w:rPr>
                <w:rFonts w:ascii="Times New Roman"/>
                <w:sz w:val="20"/>
                <w:lang w:val="gl-ES"/>
              </w:rPr>
            </w:pPr>
          </w:p>
        </w:tc>
      </w:tr>
      <w:tr w:rsidR="00381707" w:rsidRPr="00DB6417">
        <w:trPr>
          <w:trHeight w:val="732"/>
        </w:trPr>
        <w:tc>
          <w:tcPr>
            <w:tcW w:w="1439" w:type="dxa"/>
          </w:tcPr>
          <w:p w:rsidR="00381707" w:rsidRPr="00DB6417" w:rsidRDefault="00DB6417">
            <w:pPr>
              <w:pStyle w:val="TableParagraph"/>
              <w:ind w:left="107" w:right="132"/>
              <w:rPr>
                <w:b/>
                <w:sz w:val="20"/>
                <w:lang w:val="gl-ES"/>
              </w:rPr>
            </w:pPr>
            <w:r w:rsidRPr="00DB6417">
              <w:rPr>
                <w:b/>
                <w:sz w:val="20"/>
                <w:lang w:val="gl-ES"/>
              </w:rPr>
              <w:t>Comunicación á CAPD</w:t>
            </w:r>
          </w:p>
        </w:tc>
        <w:tc>
          <w:tcPr>
            <w:tcW w:w="1343" w:type="dxa"/>
          </w:tcPr>
          <w:p w:rsidR="00381707" w:rsidRPr="00DB6417" w:rsidRDefault="00DB6417">
            <w:pPr>
              <w:pStyle w:val="TableParagrap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EIDUDC</w:t>
            </w:r>
          </w:p>
        </w:tc>
        <w:tc>
          <w:tcPr>
            <w:tcW w:w="5826" w:type="dxa"/>
          </w:tcPr>
          <w:p w:rsidR="00381707" w:rsidRPr="00DB6417" w:rsidRDefault="00DB6417" w:rsidP="00FE387E">
            <w:pPr>
              <w:pStyle w:val="TableParagraph"/>
              <w:ind w:right="176"/>
              <w:jc w:val="both"/>
              <w:rPr>
                <w:sz w:val="20"/>
                <w:lang w:val="gl-ES"/>
              </w:rPr>
            </w:pPr>
            <w:bookmarkStart w:id="5" w:name="_GoBack"/>
            <w:r w:rsidRPr="00DB6417">
              <w:rPr>
                <w:sz w:val="20"/>
                <w:lang w:val="gl-ES"/>
              </w:rPr>
              <w:t xml:space="preserve">Unha vez recibida a copia electrónica, a EIDUDC comunicará á CAPD que o convenio asinado xa está </w:t>
            </w:r>
            <w:r>
              <w:rPr>
                <w:sz w:val="20"/>
                <w:lang w:val="gl-ES"/>
              </w:rPr>
              <w:t>dispoñible</w:t>
            </w:r>
            <w:r w:rsidRPr="00DB6417">
              <w:rPr>
                <w:sz w:val="20"/>
                <w:lang w:val="gl-ES"/>
              </w:rPr>
              <w:t xml:space="preserve"> na base de datos de</w:t>
            </w:r>
          </w:p>
          <w:p w:rsidR="00381707" w:rsidRPr="00DB6417" w:rsidRDefault="00DB6417" w:rsidP="00FE387E">
            <w:pPr>
              <w:pStyle w:val="TableParagraph"/>
              <w:spacing w:line="224" w:lineRule="exact"/>
              <w:jc w:val="both"/>
              <w:rPr>
                <w:sz w:val="20"/>
                <w:lang w:val="gl-ES"/>
              </w:rPr>
            </w:pPr>
            <w:r w:rsidRPr="00DB6417">
              <w:rPr>
                <w:sz w:val="20"/>
                <w:lang w:val="gl-ES"/>
              </w:rPr>
              <w:t>convenios.</w:t>
            </w:r>
            <w:bookmarkEnd w:id="5"/>
          </w:p>
        </w:tc>
      </w:tr>
    </w:tbl>
    <w:p w:rsidR="00BF04BB" w:rsidRPr="00DB6417" w:rsidRDefault="00BF04BB">
      <w:pPr>
        <w:rPr>
          <w:lang w:val="gl-ES"/>
        </w:rPr>
      </w:pPr>
    </w:p>
    <w:sectPr w:rsidR="00BF04BB" w:rsidRPr="00DB6417">
      <w:pgSz w:w="11910" w:h="16840"/>
      <w:pgMar w:top="1380" w:right="1480" w:bottom="1200" w:left="1600" w:header="0" w:footer="100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4BB" w:rsidRDefault="00DB6417">
      <w:r>
        <w:separator/>
      </w:r>
    </w:p>
  </w:endnote>
  <w:endnote w:type="continuationSeparator" w:id="0">
    <w:p w:rsidR="00BF04BB" w:rsidRDefault="00DB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1707" w:rsidRDefault="00FE387E">
    <w:pPr>
      <w:pStyle w:val="Textoindependiente"/>
      <w:spacing w:line="14" w:lineRule="auto"/>
      <w:rPr>
        <w:i w:val="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9pt;margin-top:780.85pt;width:11.6pt;height:13pt;z-index:-251658752;mso-position-horizontal-relative:page;mso-position-vertical-relative:page" filled="f" stroked="f">
          <v:textbox inset="0,0,0,0">
            <w:txbxContent>
              <w:p w:rsidR="00381707" w:rsidRDefault="00DB6417">
                <w:pPr>
                  <w:spacing w:line="244" w:lineRule="exact"/>
                  <w:ind w:left="60"/>
                </w:pPr>
                <w:r>
                  <w:fldChar w:fldCharType="begin"/>
                </w:r>
                <w:r>
                  <w:rPr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FE387E">
                  <w:rPr>
                    <w:noProof/>
                    <w:w w:val="99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4BB" w:rsidRDefault="00DB6417">
      <w:r>
        <w:separator/>
      </w:r>
    </w:p>
  </w:footnote>
  <w:footnote w:type="continuationSeparator" w:id="0">
    <w:p w:rsidR="00BF04BB" w:rsidRDefault="00DB6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A2BB0"/>
    <w:multiLevelType w:val="hybridMultilevel"/>
    <w:tmpl w:val="734EE12C"/>
    <w:lvl w:ilvl="0" w:tplc="008AE86C">
      <w:start w:val="1"/>
      <w:numFmt w:val="lowerLetter"/>
      <w:lvlText w:val="%1)"/>
      <w:lvlJc w:val="left"/>
      <w:pPr>
        <w:ind w:left="101" w:hanging="277"/>
        <w:jc w:val="left"/>
      </w:pPr>
      <w:rPr>
        <w:rFonts w:ascii="Calibri" w:eastAsia="Calibri" w:hAnsi="Calibri" w:cs="Calibri" w:hint="default"/>
        <w:i/>
        <w:spacing w:val="-1"/>
        <w:w w:val="100"/>
        <w:sz w:val="20"/>
        <w:szCs w:val="20"/>
      </w:rPr>
    </w:lvl>
    <w:lvl w:ilvl="1" w:tplc="2C52BED6">
      <w:numFmt w:val="bullet"/>
      <w:lvlText w:val="•"/>
      <w:lvlJc w:val="left"/>
      <w:pPr>
        <w:ind w:left="972" w:hanging="277"/>
      </w:pPr>
      <w:rPr>
        <w:rFonts w:hint="default"/>
      </w:rPr>
    </w:lvl>
    <w:lvl w:ilvl="2" w:tplc="D108D158">
      <w:numFmt w:val="bullet"/>
      <w:lvlText w:val="•"/>
      <w:lvlJc w:val="left"/>
      <w:pPr>
        <w:ind w:left="1845" w:hanging="277"/>
      </w:pPr>
      <w:rPr>
        <w:rFonts w:hint="default"/>
      </w:rPr>
    </w:lvl>
    <w:lvl w:ilvl="3" w:tplc="C9F8D098">
      <w:numFmt w:val="bullet"/>
      <w:lvlText w:val="•"/>
      <w:lvlJc w:val="left"/>
      <w:pPr>
        <w:ind w:left="2717" w:hanging="277"/>
      </w:pPr>
      <w:rPr>
        <w:rFonts w:hint="default"/>
      </w:rPr>
    </w:lvl>
    <w:lvl w:ilvl="4" w:tplc="0BD4478C">
      <w:numFmt w:val="bullet"/>
      <w:lvlText w:val="•"/>
      <w:lvlJc w:val="left"/>
      <w:pPr>
        <w:ind w:left="3590" w:hanging="277"/>
      </w:pPr>
      <w:rPr>
        <w:rFonts w:hint="default"/>
      </w:rPr>
    </w:lvl>
    <w:lvl w:ilvl="5" w:tplc="4522A2BE">
      <w:numFmt w:val="bullet"/>
      <w:lvlText w:val="•"/>
      <w:lvlJc w:val="left"/>
      <w:pPr>
        <w:ind w:left="4463" w:hanging="277"/>
      </w:pPr>
      <w:rPr>
        <w:rFonts w:hint="default"/>
      </w:rPr>
    </w:lvl>
    <w:lvl w:ilvl="6" w:tplc="ED00B814">
      <w:numFmt w:val="bullet"/>
      <w:lvlText w:val="•"/>
      <w:lvlJc w:val="left"/>
      <w:pPr>
        <w:ind w:left="5335" w:hanging="277"/>
      </w:pPr>
      <w:rPr>
        <w:rFonts w:hint="default"/>
      </w:rPr>
    </w:lvl>
    <w:lvl w:ilvl="7" w:tplc="4712F612">
      <w:numFmt w:val="bullet"/>
      <w:lvlText w:val="•"/>
      <w:lvlJc w:val="left"/>
      <w:pPr>
        <w:ind w:left="6208" w:hanging="277"/>
      </w:pPr>
      <w:rPr>
        <w:rFonts w:hint="default"/>
      </w:rPr>
    </w:lvl>
    <w:lvl w:ilvl="8" w:tplc="A02A07D6">
      <w:numFmt w:val="bullet"/>
      <w:lvlText w:val="•"/>
      <w:lvlJc w:val="left"/>
      <w:pPr>
        <w:ind w:left="7081" w:hanging="277"/>
      </w:pPr>
      <w:rPr>
        <w:rFonts w:hint="default"/>
      </w:rPr>
    </w:lvl>
  </w:abstractNum>
  <w:abstractNum w:abstractNumId="1" w15:restartNumberingAfterBreak="0">
    <w:nsid w:val="6E5034F0"/>
    <w:multiLevelType w:val="hybridMultilevel"/>
    <w:tmpl w:val="3CA4B3C6"/>
    <w:lvl w:ilvl="0" w:tplc="48C4D456">
      <w:start w:val="1"/>
      <w:numFmt w:val="decimal"/>
      <w:lvlText w:val="%1."/>
      <w:lvlJc w:val="left"/>
      <w:pPr>
        <w:ind w:left="298" w:hanging="197"/>
        <w:jc w:val="left"/>
      </w:pPr>
      <w:rPr>
        <w:rFonts w:ascii="Calibri" w:eastAsia="Calibri" w:hAnsi="Calibri" w:cs="Calibri" w:hint="default"/>
        <w:i/>
        <w:w w:val="100"/>
        <w:sz w:val="20"/>
        <w:szCs w:val="20"/>
      </w:rPr>
    </w:lvl>
    <w:lvl w:ilvl="1" w:tplc="7D1652A6">
      <w:numFmt w:val="bullet"/>
      <w:lvlText w:val="•"/>
      <w:lvlJc w:val="left"/>
      <w:pPr>
        <w:ind w:left="1152" w:hanging="197"/>
      </w:pPr>
      <w:rPr>
        <w:rFonts w:hint="default"/>
      </w:rPr>
    </w:lvl>
    <w:lvl w:ilvl="2" w:tplc="03C042C8">
      <w:numFmt w:val="bullet"/>
      <w:lvlText w:val="•"/>
      <w:lvlJc w:val="left"/>
      <w:pPr>
        <w:ind w:left="2005" w:hanging="197"/>
      </w:pPr>
      <w:rPr>
        <w:rFonts w:hint="default"/>
      </w:rPr>
    </w:lvl>
    <w:lvl w:ilvl="3" w:tplc="7F94EADC">
      <w:numFmt w:val="bullet"/>
      <w:lvlText w:val="•"/>
      <w:lvlJc w:val="left"/>
      <w:pPr>
        <w:ind w:left="2857" w:hanging="197"/>
      </w:pPr>
      <w:rPr>
        <w:rFonts w:hint="default"/>
      </w:rPr>
    </w:lvl>
    <w:lvl w:ilvl="4" w:tplc="8D6877CE">
      <w:numFmt w:val="bullet"/>
      <w:lvlText w:val="•"/>
      <w:lvlJc w:val="left"/>
      <w:pPr>
        <w:ind w:left="3710" w:hanging="197"/>
      </w:pPr>
      <w:rPr>
        <w:rFonts w:hint="default"/>
      </w:rPr>
    </w:lvl>
    <w:lvl w:ilvl="5" w:tplc="8FB23888">
      <w:numFmt w:val="bullet"/>
      <w:lvlText w:val="•"/>
      <w:lvlJc w:val="left"/>
      <w:pPr>
        <w:ind w:left="4563" w:hanging="197"/>
      </w:pPr>
      <w:rPr>
        <w:rFonts w:hint="default"/>
      </w:rPr>
    </w:lvl>
    <w:lvl w:ilvl="6" w:tplc="22C66FF2">
      <w:numFmt w:val="bullet"/>
      <w:lvlText w:val="•"/>
      <w:lvlJc w:val="left"/>
      <w:pPr>
        <w:ind w:left="5415" w:hanging="197"/>
      </w:pPr>
      <w:rPr>
        <w:rFonts w:hint="default"/>
      </w:rPr>
    </w:lvl>
    <w:lvl w:ilvl="7" w:tplc="33B654D2">
      <w:numFmt w:val="bullet"/>
      <w:lvlText w:val="•"/>
      <w:lvlJc w:val="left"/>
      <w:pPr>
        <w:ind w:left="6268" w:hanging="197"/>
      </w:pPr>
      <w:rPr>
        <w:rFonts w:hint="default"/>
      </w:rPr>
    </w:lvl>
    <w:lvl w:ilvl="8" w:tplc="8DF6AECC">
      <w:numFmt w:val="bullet"/>
      <w:lvlText w:val="•"/>
      <w:lvlJc w:val="left"/>
      <w:pPr>
        <w:ind w:left="7121" w:hanging="19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381707"/>
    <w:rsid w:val="00381707"/>
    <w:rsid w:val="00BF04BB"/>
    <w:rsid w:val="00DB6417"/>
    <w:rsid w:val="00FE3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50D1F"/>
  <w15:docId w15:val="{2AFE6D4F-4B33-47B4-B179-5C6F0E88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Ttulo1">
    <w:name w:val="heading 1"/>
    <w:basedOn w:val="Normal"/>
    <w:uiPriority w:val="1"/>
    <w:qFormat/>
    <w:pPr>
      <w:spacing w:before="7"/>
      <w:ind w:left="101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Ttulo2">
    <w:name w:val="heading 2"/>
    <w:basedOn w:val="Normal"/>
    <w:uiPriority w:val="1"/>
    <w:qFormat/>
    <w:pPr>
      <w:ind w:left="101"/>
      <w:jc w:val="both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0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Barreiro</dc:creator>
  <cp:lastModifiedBy>Marta Gómez Pérez</cp:lastModifiedBy>
  <cp:revision>3</cp:revision>
  <dcterms:created xsi:type="dcterms:W3CDTF">2025-10-09T07:59:00Z</dcterms:created>
  <dcterms:modified xsi:type="dcterms:W3CDTF">2025-10-09T08:26:00Z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2025-10-09T00:00:00Z</vt:filetime>
  </property>
</Properties>
</file>